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5E" w:rsidRDefault="00FF0B5E" w:rsidP="00FF0B5E">
      <w:pPr>
        <w:spacing w:before="240"/>
        <w:jc w:val="center"/>
        <w:rPr>
          <w:b/>
          <w:sz w:val="28"/>
          <w:szCs w:val="28"/>
        </w:rPr>
      </w:pPr>
      <w:r>
        <w:rPr>
          <w:b/>
          <w:sz w:val="28"/>
          <w:szCs w:val="28"/>
        </w:rPr>
        <w:t>Contract Agreement Form for the Procurement of Goods (Revised)</w:t>
      </w:r>
    </w:p>
    <w:p w:rsidR="00FF0B5E" w:rsidRDefault="00FF0B5E" w:rsidP="00FF0B5E">
      <w:pPr>
        <w:jc w:val="center"/>
        <w:rPr>
          <w:b/>
          <w:i/>
          <w:sz w:val="20"/>
          <w:szCs w:val="20"/>
        </w:rPr>
      </w:pPr>
      <w:r>
        <w:rPr>
          <w:b/>
          <w:i/>
          <w:sz w:val="20"/>
          <w:szCs w:val="20"/>
        </w:rPr>
        <w:t>[Not required to be submitted with the Bid, but it shall be submitted within ten (10) days after receiving the Notice of Award]</w:t>
      </w:r>
    </w:p>
    <w:p w:rsidR="00FF0B5E" w:rsidRDefault="00FF0B5E" w:rsidP="00FF0B5E">
      <w:pPr>
        <w:jc w:val="center"/>
        <w:rPr>
          <w:b/>
          <w:i/>
        </w:rPr>
      </w:pPr>
      <w:r>
        <w:rPr>
          <w:b/>
          <w:i/>
        </w:rPr>
        <w:t>_________________________________________________________________________</w:t>
      </w:r>
    </w:p>
    <w:p w:rsidR="00FF0B5E" w:rsidRDefault="00FF0B5E" w:rsidP="00FF0B5E">
      <w:pPr>
        <w:jc w:val="center"/>
        <w:rPr>
          <w:b/>
          <w:i/>
        </w:rPr>
      </w:pPr>
    </w:p>
    <w:p w:rsidR="00FF0B5E" w:rsidRDefault="00FF0B5E" w:rsidP="00FF0B5E">
      <w:pPr>
        <w:jc w:val="center"/>
        <w:rPr>
          <w:b/>
          <w:i/>
          <w:sz w:val="24"/>
          <w:szCs w:val="24"/>
        </w:rPr>
      </w:pPr>
      <w:r>
        <w:rPr>
          <w:b/>
          <w:sz w:val="24"/>
          <w:szCs w:val="24"/>
        </w:rPr>
        <w:t>CONTRACT AGREEMENT</w:t>
      </w:r>
    </w:p>
    <w:p w:rsidR="00FF0B5E" w:rsidRDefault="00FF0B5E" w:rsidP="00FF0B5E">
      <w:pPr>
        <w:jc w:val="center"/>
        <w:rPr>
          <w:b/>
          <w:i/>
        </w:rPr>
      </w:pPr>
    </w:p>
    <w:p w:rsidR="00FF0B5E" w:rsidRDefault="00FF0B5E" w:rsidP="00FF0B5E">
      <w:pPr>
        <w:ind w:firstLine="720"/>
        <w:jc w:val="both"/>
      </w:pPr>
      <w:r>
        <w:t>THIS AGREEMENT made the _____ day of __________ 20_____ between [name of PROCURING ENTITY] of the Philippines (hereinafter called “the Entity”) of the one part and [name of Supplier] of [city and country of Supplier] (hereinafter called “the Supplier”) of the other part;</w:t>
      </w:r>
    </w:p>
    <w:p w:rsidR="00FF0B5E" w:rsidRDefault="00FF0B5E" w:rsidP="00FF0B5E">
      <w:pPr>
        <w:ind w:firstLine="720"/>
        <w:jc w:val="both"/>
      </w:pPr>
    </w:p>
    <w:p w:rsidR="00FF0B5E" w:rsidRDefault="00FF0B5E" w:rsidP="00FF0B5E">
      <w:pPr>
        <w:ind w:firstLine="720"/>
        <w:jc w:val="both"/>
      </w:pPr>
      <w:r>
        <w:t xml:space="preserve">WHEREAS, the Entity invited Bids for certain goods and ancillary services, particularly [brief description of goods and services] and has accepted a Bid by the Supplier for the supply of those goods and services in the sum of </w:t>
      </w:r>
      <w:r>
        <w:rPr>
          <w:i/>
        </w:rPr>
        <w:t>[contract price in words and figures in specified currency]</w:t>
      </w:r>
      <w:r>
        <w:t xml:space="preserve"> (hereinafter called “the Contract Price”).</w:t>
      </w:r>
    </w:p>
    <w:p w:rsidR="00FF0B5E" w:rsidRDefault="00FF0B5E" w:rsidP="00FF0B5E">
      <w:pPr>
        <w:spacing w:before="240" w:after="240"/>
        <w:ind w:firstLine="720"/>
        <w:jc w:val="both"/>
      </w:pPr>
      <w:r>
        <w:t xml:space="preserve"> NOW THIS AGREEMENT WITNESSETH AS FOLLOWS:</w:t>
      </w:r>
    </w:p>
    <w:p w:rsidR="00FF0B5E" w:rsidRDefault="00FF0B5E" w:rsidP="00FF0B5E">
      <w:pPr>
        <w:spacing w:before="240" w:after="240"/>
        <w:ind w:left="1260" w:hanging="540"/>
        <w:jc w:val="both"/>
      </w:pPr>
      <w:r>
        <w:t>1.     In this Agreement words and expressions shall have the same meanings as are respectively assigned to them in the Conditions of Contract referred to.</w:t>
      </w:r>
    </w:p>
    <w:p w:rsidR="00FF0B5E" w:rsidRDefault="00FF0B5E" w:rsidP="00FF0B5E">
      <w:pPr>
        <w:pBdr>
          <w:top w:val="nil"/>
          <w:left w:val="nil"/>
          <w:bottom w:val="nil"/>
          <w:right w:val="nil"/>
          <w:between w:val="nil"/>
        </w:pBdr>
        <w:spacing w:before="240" w:after="240"/>
        <w:ind w:left="1260" w:hanging="540"/>
        <w:jc w:val="both"/>
      </w:pPr>
      <w:r>
        <w:t xml:space="preserve">2.     The following documents as required by the 2016 revised Implementing Rules and Regulations of Republic Act No. 9184 shall be deemed to form and be read and construed as integral part of this Agreement, </w:t>
      </w:r>
      <w:r>
        <w:rPr>
          <w:i/>
        </w:rPr>
        <w:t>viz.</w:t>
      </w:r>
      <w:r>
        <w:t>:</w:t>
      </w:r>
    </w:p>
    <w:p w:rsidR="00FF0B5E" w:rsidRDefault="00FF0B5E" w:rsidP="00FF0B5E">
      <w:pPr>
        <w:widowControl w:val="0"/>
        <w:numPr>
          <w:ilvl w:val="0"/>
          <w:numId w:val="5"/>
        </w:numPr>
        <w:autoSpaceDE w:val="0"/>
        <w:autoSpaceDN w:val="0"/>
        <w:ind w:left="1800" w:hanging="360"/>
        <w:jc w:val="both"/>
      </w:pPr>
      <w:r>
        <w:t>Philippine Bidding Documents (PBDs);</w:t>
      </w:r>
    </w:p>
    <w:p w:rsidR="00FF0B5E" w:rsidRDefault="00FF0B5E" w:rsidP="00FF0B5E">
      <w:pPr>
        <w:widowControl w:val="0"/>
        <w:numPr>
          <w:ilvl w:val="1"/>
          <w:numId w:val="5"/>
        </w:numPr>
        <w:autoSpaceDE w:val="0"/>
        <w:autoSpaceDN w:val="0"/>
        <w:ind w:left="2430"/>
        <w:jc w:val="both"/>
      </w:pPr>
      <w:r>
        <w:t>Schedule of Requirements;</w:t>
      </w:r>
    </w:p>
    <w:p w:rsidR="00FF0B5E" w:rsidRDefault="00FF0B5E" w:rsidP="00FF0B5E">
      <w:pPr>
        <w:widowControl w:val="0"/>
        <w:numPr>
          <w:ilvl w:val="1"/>
          <w:numId w:val="5"/>
        </w:numPr>
        <w:autoSpaceDE w:val="0"/>
        <w:autoSpaceDN w:val="0"/>
        <w:ind w:left="2430"/>
        <w:jc w:val="both"/>
      </w:pPr>
      <w:r>
        <w:t>Technical Specifications;</w:t>
      </w:r>
    </w:p>
    <w:p w:rsidR="00FF0B5E" w:rsidRDefault="00FF0B5E" w:rsidP="00FF0B5E">
      <w:pPr>
        <w:widowControl w:val="0"/>
        <w:numPr>
          <w:ilvl w:val="1"/>
          <w:numId w:val="5"/>
        </w:numPr>
        <w:autoSpaceDE w:val="0"/>
        <w:autoSpaceDN w:val="0"/>
        <w:ind w:left="2430"/>
        <w:jc w:val="both"/>
      </w:pPr>
      <w:r>
        <w:t>General and Special Conditions of Contract; and</w:t>
      </w:r>
    </w:p>
    <w:p w:rsidR="00FF0B5E" w:rsidRDefault="00FF0B5E" w:rsidP="00FF0B5E">
      <w:pPr>
        <w:widowControl w:val="0"/>
        <w:numPr>
          <w:ilvl w:val="1"/>
          <w:numId w:val="5"/>
        </w:numPr>
        <w:autoSpaceDE w:val="0"/>
        <w:autoSpaceDN w:val="0"/>
        <w:ind w:left="2430"/>
        <w:jc w:val="both"/>
      </w:pPr>
      <w:r>
        <w:t>Supplemental or Bid Bulletins, if any</w:t>
      </w:r>
    </w:p>
    <w:p w:rsidR="00FF0B5E" w:rsidRDefault="00FF0B5E" w:rsidP="00FF0B5E">
      <w:pPr>
        <w:ind w:left="2160"/>
        <w:jc w:val="both"/>
      </w:pPr>
    </w:p>
    <w:p w:rsidR="00FF0B5E" w:rsidRDefault="00FF0B5E" w:rsidP="00FF0B5E">
      <w:pPr>
        <w:widowControl w:val="0"/>
        <w:numPr>
          <w:ilvl w:val="0"/>
          <w:numId w:val="5"/>
        </w:numPr>
        <w:pBdr>
          <w:top w:val="nil"/>
          <w:left w:val="nil"/>
          <w:bottom w:val="nil"/>
          <w:right w:val="nil"/>
          <w:between w:val="nil"/>
        </w:pBdr>
        <w:autoSpaceDE w:val="0"/>
        <w:autoSpaceDN w:val="0"/>
        <w:ind w:left="1800" w:hanging="360"/>
        <w:jc w:val="both"/>
      </w:pPr>
      <w:r>
        <w:t>Winning bidder’s bid, including the Eligibility requirements, Technical and Financial Proposals, and all other documents or statements submitted;</w:t>
      </w:r>
    </w:p>
    <w:p w:rsidR="00FF0B5E" w:rsidRDefault="00FF0B5E" w:rsidP="00FF0B5E">
      <w:pPr>
        <w:ind w:left="2160"/>
        <w:jc w:val="both"/>
      </w:pPr>
    </w:p>
    <w:p w:rsidR="00FF0B5E" w:rsidRDefault="00FF0B5E" w:rsidP="00FF0B5E">
      <w:pPr>
        <w:ind w:left="1800"/>
        <w:jc w:val="both"/>
      </w:pPr>
      <w:r>
        <w:t>Bid form, including all the documents/statements contained in the Bidder’s bidding envelopes, as annexes, and all other documents submitted (</w:t>
      </w:r>
      <w:r>
        <w:rPr>
          <w:i/>
        </w:rPr>
        <w:t>e.g.</w:t>
      </w:r>
      <w:r>
        <w:t>, Bidder’s response to request for clarifications on the bid), including corrections to the bid, if any, resulting from the Procuring Entity’s bid evaluation;</w:t>
      </w:r>
    </w:p>
    <w:p w:rsidR="00FF0B5E" w:rsidRDefault="00FF0B5E" w:rsidP="00FF0B5E">
      <w:pPr>
        <w:ind w:left="2160"/>
        <w:jc w:val="both"/>
      </w:pPr>
    </w:p>
    <w:p w:rsidR="00FF0B5E" w:rsidRDefault="00FF0B5E" w:rsidP="00FF0B5E">
      <w:pPr>
        <w:widowControl w:val="0"/>
        <w:numPr>
          <w:ilvl w:val="0"/>
          <w:numId w:val="5"/>
        </w:numPr>
        <w:pBdr>
          <w:top w:val="nil"/>
          <w:left w:val="nil"/>
          <w:bottom w:val="nil"/>
          <w:right w:val="nil"/>
          <w:between w:val="nil"/>
        </w:pBdr>
        <w:autoSpaceDE w:val="0"/>
        <w:autoSpaceDN w:val="0"/>
        <w:ind w:left="1800" w:hanging="360"/>
        <w:jc w:val="both"/>
      </w:pPr>
      <w:r>
        <w:t>Performance Security;</w:t>
      </w:r>
    </w:p>
    <w:p w:rsidR="00FF0B5E" w:rsidRDefault="00FF0B5E" w:rsidP="00FF0B5E">
      <w:pPr>
        <w:ind w:left="900"/>
        <w:jc w:val="both"/>
      </w:pPr>
    </w:p>
    <w:p w:rsidR="00FF0B5E" w:rsidRDefault="00FF0B5E" w:rsidP="00FF0B5E">
      <w:pPr>
        <w:widowControl w:val="0"/>
        <w:numPr>
          <w:ilvl w:val="0"/>
          <w:numId w:val="5"/>
        </w:numPr>
        <w:pBdr>
          <w:top w:val="nil"/>
          <w:left w:val="nil"/>
          <w:bottom w:val="nil"/>
          <w:right w:val="nil"/>
          <w:between w:val="nil"/>
        </w:pBdr>
        <w:autoSpaceDE w:val="0"/>
        <w:autoSpaceDN w:val="0"/>
        <w:ind w:left="1800" w:hanging="360"/>
        <w:jc w:val="both"/>
      </w:pPr>
      <w:r>
        <w:t xml:space="preserve">Notice of Award of Contract; and the Bidder’s </w:t>
      </w:r>
      <w:proofErr w:type="spellStart"/>
      <w:r>
        <w:t>conforme</w:t>
      </w:r>
      <w:proofErr w:type="spellEnd"/>
      <w:r>
        <w:t xml:space="preserve"> thereto; and</w:t>
      </w:r>
    </w:p>
    <w:p w:rsidR="00FF0B5E" w:rsidRDefault="00FF0B5E" w:rsidP="00FF0B5E">
      <w:pPr>
        <w:ind w:left="900"/>
        <w:jc w:val="both"/>
      </w:pPr>
    </w:p>
    <w:p w:rsidR="00FF0B5E" w:rsidRDefault="00FF0B5E" w:rsidP="00FF0B5E">
      <w:pPr>
        <w:widowControl w:val="0"/>
        <w:numPr>
          <w:ilvl w:val="0"/>
          <w:numId w:val="5"/>
        </w:numPr>
        <w:pBdr>
          <w:top w:val="nil"/>
          <w:left w:val="nil"/>
          <w:bottom w:val="nil"/>
          <w:right w:val="nil"/>
          <w:between w:val="nil"/>
        </w:pBdr>
        <w:autoSpaceDE w:val="0"/>
        <w:autoSpaceDN w:val="0"/>
        <w:ind w:left="1800" w:hanging="360"/>
        <w:jc w:val="both"/>
      </w:pPr>
      <w:r>
        <w:t xml:space="preserve">Other contract documents that may be required by existing laws and/or the Procuring Entity concerned in the PBDs. </w:t>
      </w:r>
      <w:r>
        <w:rPr>
          <w:b/>
          <w:u w:val="single"/>
        </w:rPr>
        <w:t>Winning bidder agrees that additional contract documents or information prescribed by the GPPB that are subsequently required for submission after the contract execution, such as the Notice to Proceed, Variation Orders, and Warranty Security, shall likewise form part of the Contract.</w:t>
      </w:r>
    </w:p>
    <w:p w:rsidR="00FF0B5E" w:rsidRDefault="00FF0B5E" w:rsidP="00FF0B5E">
      <w:pPr>
        <w:pBdr>
          <w:top w:val="nil"/>
          <w:left w:val="nil"/>
          <w:bottom w:val="nil"/>
          <w:right w:val="nil"/>
          <w:between w:val="nil"/>
        </w:pBdr>
        <w:spacing w:before="240" w:after="240"/>
        <w:ind w:left="1260" w:hanging="540"/>
        <w:jc w:val="both"/>
      </w:pPr>
      <w:r>
        <w:lastRenderedPageBreak/>
        <w:t xml:space="preserve">3.     In consideration for the sum of </w:t>
      </w:r>
      <w:r>
        <w:rPr>
          <w:i/>
        </w:rPr>
        <w:t>[total</w:t>
      </w:r>
      <w:r>
        <w:rPr>
          <w:i/>
          <w:color w:val="0000FF"/>
        </w:rPr>
        <w:t xml:space="preserve"> </w:t>
      </w:r>
      <w:r>
        <w:rPr>
          <w:i/>
        </w:rPr>
        <w:t xml:space="preserve">contract price in words and figures] </w:t>
      </w:r>
      <w:r>
        <w:t xml:space="preserve">or such other sums as may be ascertained, </w:t>
      </w:r>
      <w:r>
        <w:rPr>
          <w:i/>
        </w:rPr>
        <w:t>[Named of the bidder]</w:t>
      </w:r>
      <w:r>
        <w:t xml:space="preserve"> agrees to </w:t>
      </w:r>
      <w:r>
        <w:rPr>
          <w:i/>
        </w:rPr>
        <w:t>[state the object of the contract]</w:t>
      </w:r>
      <w:r>
        <w:t xml:space="preserve"> in accordance with his/her/its Bid.</w:t>
      </w:r>
    </w:p>
    <w:p w:rsidR="00FF0B5E" w:rsidRDefault="00FF0B5E" w:rsidP="00FF0B5E">
      <w:pPr>
        <w:pBdr>
          <w:top w:val="nil"/>
          <w:left w:val="nil"/>
          <w:bottom w:val="nil"/>
          <w:right w:val="nil"/>
          <w:between w:val="nil"/>
        </w:pBdr>
        <w:spacing w:before="240" w:after="240"/>
        <w:ind w:left="1260" w:hanging="540"/>
        <w:jc w:val="both"/>
      </w:pPr>
      <w:r>
        <w:t xml:space="preserve"> 4.    The </w:t>
      </w:r>
      <w:r>
        <w:rPr>
          <w:i/>
        </w:rPr>
        <w:t>[Name of the procuring entity]</w:t>
      </w:r>
      <w:r>
        <w:t xml:space="preserve"> agrees to pay the above-mentioned sum in accordance with the terms of the Bidding.</w:t>
      </w:r>
    </w:p>
    <w:p w:rsidR="00FF0B5E" w:rsidRDefault="00FF0B5E" w:rsidP="00FF0B5E">
      <w:pPr>
        <w:spacing w:before="240" w:after="240"/>
        <w:ind w:firstLine="720"/>
        <w:jc w:val="both"/>
      </w:pPr>
      <w:proofErr w:type="gramStart"/>
      <w:r>
        <w:t>IN WITNESS whereof the parties hereto have caused this Agreement to be executed in accordance with the laws of the Republic of the Philippines on the day and year first above written.</w:t>
      </w:r>
      <w:proofErr w:type="gramEnd"/>
    </w:p>
    <w:p w:rsidR="00FF0B5E" w:rsidRDefault="00FF0B5E" w:rsidP="00FF0B5E">
      <w:pPr>
        <w:spacing w:before="240" w:after="240"/>
        <w:jc w:val="both"/>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4695"/>
        <w:gridCol w:w="4305"/>
      </w:tblGrid>
      <w:tr w:rsidR="00FF0B5E" w:rsidTr="00845F93">
        <w:trPr>
          <w:trHeight w:val="2825"/>
        </w:trPr>
        <w:tc>
          <w:tcPr>
            <w:tcW w:w="4695" w:type="dxa"/>
            <w:tcMar>
              <w:top w:w="100" w:type="dxa"/>
              <w:left w:w="100" w:type="dxa"/>
              <w:bottom w:w="100" w:type="dxa"/>
              <w:right w:w="100" w:type="dxa"/>
            </w:tcMar>
          </w:tcPr>
          <w:p w:rsidR="00FF0B5E" w:rsidRDefault="00FF0B5E" w:rsidP="00845F93">
            <w:pPr>
              <w:jc w:val="center"/>
              <w:rPr>
                <w:i/>
              </w:rPr>
            </w:pPr>
            <w:r>
              <w:rPr>
                <w:i/>
              </w:rPr>
              <w:t>[Insert Name and Signature]</w:t>
            </w:r>
          </w:p>
          <w:p w:rsidR="00FF0B5E" w:rsidRDefault="00FF0B5E" w:rsidP="00845F93">
            <w:pPr>
              <w:spacing w:before="240"/>
              <w:rPr>
                <w:i/>
              </w:rPr>
            </w:pPr>
            <w:r>
              <w:rPr>
                <w:i/>
              </w:rPr>
              <w:t xml:space="preserve">           [Insert Signatory’s Legal Capacity]</w:t>
            </w:r>
          </w:p>
          <w:p w:rsidR="00FF0B5E" w:rsidRDefault="00FF0B5E" w:rsidP="00845F93">
            <w:pPr>
              <w:ind w:left="1280"/>
              <w:jc w:val="both"/>
              <w:rPr>
                <w:i/>
              </w:rPr>
            </w:pPr>
          </w:p>
          <w:p w:rsidR="00FF0B5E" w:rsidRDefault="00FF0B5E" w:rsidP="00845F93">
            <w:pPr>
              <w:ind w:left="1280"/>
              <w:jc w:val="both"/>
              <w:rPr>
                <w:i/>
              </w:rPr>
            </w:pPr>
            <w:r>
              <w:rPr>
                <w:i/>
              </w:rPr>
              <w:t xml:space="preserve">           for:</w:t>
            </w:r>
          </w:p>
          <w:p w:rsidR="00FF0B5E" w:rsidRDefault="00FF0B5E" w:rsidP="00845F93">
            <w:pPr>
              <w:spacing w:before="240"/>
              <w:jc w:val="center"/>
              <w:rPr>
                <w:i/>
              </w:rPr>
            </w:pPr>
            <w:r>
              <w:rPr>
                <w:i/>
              </w:rPr>
              <w:t>[Insert Procuring Entity]</w:t>
            </w:r>
          </w:p>
        </w:tc>
        <w:tc>
          <w:tcPr>
            <w:tcW w:w="4305" w:type="dxa"/>
            <w:tcMar>
              <w:top w:w="100" w:type="dxa"/>
              <w:left w:w="100" w:type="dxa"/>
              <w:bottom w:w="100" w:type="dxa"/>
              <w:right w:w="100" w:type="dxa"/>
            </w:tcMar>
          </w:tcPr>
          <w:p w:rsidR="00FF0B5E" w:rsidRDefault="00FF0B5E" w:rsidP="00845F93">
            <w:pPr>
              <w:jc w:val="center"/>
              <w:rPr>
                <w:i/>
              </w:rPr>
            </w:pPr>
            <w:r>
              <w:rPr>
                <w:i/>
              </w:rPr>
              <w:t>[Insert Name and Signature]</w:t>
            </w:r>
          </w:p>
          <w:p w:rsidR="00FF0B5E" w:rsidRDefault="00FF0B5E" w:rsidP="00845F93">
            <w:pPr>
              <w:spacing w:before="240"/>
              <w:jc w:val="center"/>
              <w:rPr>
                <w:i/>
              </w:rPr>
            </w:pPr>
            <w:r>
              <w:rPr>
                <w:i/>
              </w:rPr>
              <w:t>[Insert Signatory’s Legal Capacity]</w:t>
            </w:r>
          </w:p>
          <w:p w:rsidR="00FF0B5E" w:rsidRDefault="00FF0B5E" w:rsidP="00845F93">
            <w:pPr>
              <w:spacing w:before="240"/>
              <w:ind w:left="1340"/>
              <w:jc w:val="both"/>
              <w:rPr>
                <w:i/>
              </w:rPr>
            </w:pPr>
            <w:r>
              <w:rPr>
                <w:i/>
              </w:rPr>
              <w:t xml:space="preserve">         for:</w:t>
            </w:r>
          </w:p>
          <w:p w:rsidR="00FF0B5E" w:rsidRDefault="00FF0B5E" w:rsidP="00845F93">
            <w:pPr>
              <w:spacing w:before="240"/>
              <w:jc w:val="center"/>
              <w:rPr>
                <w:i/>
              </w:rPr>
            </w:pPr>
            <w:r>
              <w:rPr>
                <w:i/>
              </w:rPr>
              <w:t>[Insert Name of Supplier]</w:t>
            </w:r>
          </w:p>
        </w:tc>
      </w:tr>
    </w:tbl>
    <w:p w:rsidR="00FF0B5E" w:rsidRDefault="00FF0B5E" w:rsidP="00FF0B5E">
      <w:pPr>
        <w:jc w:val="center"/>
        <w:rPr>
          <w:b/>
          <w:u w:val="single"/>
        </w:rPr>
      </w:pPr>
      <w:r>
        <w:t xml:space="preserve"> </w:t>
      </w:r>
      <w:r>
        <w:rPr>
          <w:b/>
          <w:u w:val="single"/>
        </w:rPr>
        <w:t>Acknowledgment</w:t>
      </w:r>
    </w:p>
    <w:p w:rsidR="00F75FCA" w:rsidRPr="00FF0B5E" w:rsidRDefault="00FF0B5E" w:rsidP="00FF0B5E">
      <w:r>
        <w:rPr>
          <w:i/>
        </w:rPr>
        <w:t>[Format shall be based on the latest Rules on Notarial Practice]</w:t>
      </w:r>
      <w:bookmarkStart w:id="0" w:name="_GoBack"/>
      <w:bookmarkEnd w:id="0"/>
    </w:p>
    <w:sectPr w:rsidR="00F75FCA" w:rsidRPr="00FF0B5E" w:rsidSect="008F5DC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B1" w:rsidRDefault="00EE1EB1" w:rsidP="00694AC1">
      <w:r>
        <w:separator/>
      </w:r>
    </w:p>
  </w:endnote>
  <w:endnote w:type="continuationSeparator" w:id="0">
    <w:p w:rsidR="00EE1EB1" w:rsidRDefault="00EE1EB1" w:rsidP="0069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B1" w:rsidRDefault="00EE1EB1" w:rsidP="00694AC1">
      <w:r>
        <w:separator/>
      </w:r>
    </w:p>
  </w:footnote>
  <w:footnote w:type="continuationSeparator" w:id="0">
    <w:p w:rsidR="00EE1EB1" w:rsidRDefault="00EE1EB1" w:rsidP="00694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D0B"/>
    <w:multiLevelType w:val="multilevel"/>
    <w:tmpl w:val="1E785F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02873597"/>
    <w:multiLevelType w:val="multilevel"/>
    <w:tmpl w:val="34F02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FFC7984"/>
    <w:multiLevelType w:val="multilevel"/>
    <w:tmpl w:val="0248D27C"/>
    <w:lvl w:ilvl="0">
      <w:start w:val="1"/>
      <w:numFmt w:val="lowerRoman"/>
      <w:lvlText w:val="%1."/>
      <w:lvlJc w:val="right"/>
      <w:pPr>
        <w:ind w:left="2340" w:hanging="720"/>
      </w:pPr>
      <w:rPr>
        <w:u w:val="none"/>
      </w:rPr>
    </w:lvl>
    <w:lvl w:ilvl="1">
      <w:start w:val="1"/>
      <w:numFmt w:val="lowerRoman"/>
      <w:lvlText w:val="%2."/>
      <w:lvlJc w:val="right"/>
      <w:pPr>
        <w:ind w:left="351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3">
    <w:nsid w:val="3F433BC3"/>
    <w:multiLevelType w:val="multilevel"/>
    <w:tmpl w:val="EC1EE3C8"/>
    <w:lvl w:ilvl="0">
      <w:start w:val="1"/>
      <w:numFmt w:val="lowerLetter"/>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4370641"/>
    <w:multiLevelType w:val="multilevel"/>
    <w:tmpl w:val="257E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C0"/>
    <w:rsid w:val="00694AC1"/>
    <w:rsid w:val="006E6C60"/>
    <w:rsid w:val="007851D1"/>
    <w:rsid w:val="008F5231"/>
    <w:rsid w:val="008F5DC0"/>
    <w:rsid w:val="00B60457"/>
    <w:rsid w:val="00EE1EB1"/>
    <w:rsid w:val="00F75FCA"/>
    <w:rsid w:val="00FF0B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C0"/>
    <w:pPr>
      <w:spacing w:after="0" w:line="240" w:lineRule="auto"/>
    </w:pPr>
    <w:rPr>
      <w:rFonts w:ascii="Arial" w:eastAsia="Arial" w:hAnsi="Arial" w:cs="Arial"/>
      <w:lang w:eastAsia="en-PH"/>
    </w:rPr>
  </w:style>
  <w:style w:type="paragraph" w:styleId="Heading1">
    <w:name w:val="heading 1"/>
    <w:basedOn w:val="Normal"/>
    <w:next w:val="Normal"/>
    <w:link w:val="Heading1Char"/>
    <w:uiPriority w:val="9"/>
    <w:qFormat/>
    <w:rsid w:val="00B60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F5DC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5DC0"/>
    <w:rPr>
      <w:rFonts w:ascii="Arial" w:eastAsia="Arial" w:hAnsi="Arial" w:cs="Arial"/>
      <w:b/>
      <w:sz w:val="24"/>
      <w:szCs w:val="24"/>
      <w:lang w:eastAsia="en-PH"/>
    </w:rPr>
  </w:style>
  <w:style w:type="character" w:customStyle="1" w:styleId="Heading1Char">
    <w:name w:val="Heading 1 Char"/>
    <w:basedOn w:val="DefaultParagraphFont"/>
    <w:link w:val="Heading1"/>
    <w:uiPriority w:val="9"/>
    <w:rsid w:val="00B60457"/>
    <w:rPr>
      <w:rFonts w:asciiTheme="majorHAnsi" w:eastAsiaTheme="majorEastAsia" w:hAnsiTheme="majorHAnsi" w:cstheme="majorBidi"/>
      <w:b/>
      <w:bCs/>
      <w:color w:val="365F91" w:themeColor="accent1" w:themeShade="BF"/>
      <w:sz w:val="28"/>
      <w:szCs w:val="28"/>
      <w:lang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C0"/>
    <w:pPr>
      <w:spacing w:after="0" w:line="240" w:lineRule="auto"/>
    </w:pPr>
    <w:rPr>
      <w:rFonts w:ascii="Arial" w:eastAsia="Arial" w:hAnsi="Arial" w:cs="Arial"/>
      <w:lang w:eastAsia="en-PH"/>
    </w:rPr>
  </w:style>
  <w:style w:type="paragraph" w:styleId="Heading1">
    <w:name w:val="heading 1"/>
    <w:basedOn w:val="Normal"/>
    <w:next w:val="Normal"/>
    <w:link w:val="Heading1Char"/>
    <w:uiPriority w:val="9"/>
    <w:qFormat/>
    <w:rsid w:val="00B60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F5DC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5DC0"/>
    <w:rPr>
      <w:rFonts w:ascii="Arial" w:eastAsia="Arial" w:hAnsi="Arial" w:cs="Arial"/>
      <w:b/>
      <w:sz w:val="24"/>
      <w:szCs w:val="24"/>
      <w:lang w:eastAsia="en-PH"/>
    </w:rPr>
  </w:style>
  <w:style w:type="character" w:customStyle="1" w:styleId="Heading1Char">
    <w:name w:val="Heading 1 Char"/>
    <w:basedOn w:val="DefaultParagraphFont"/>
    <w:link w:val="Heading1"/>
    <w:uiPriority w:val="9"/>
    <w:rsid w:val="00B60457"/>
    <w:rPr>
      <w:rFonts w:asciiTheme="majorHAnsi" w:eastAsiaTheme="majorEastAsia" w:hAnsiTheme="majorHAnsi" w:cstheme="majorBidi"/>
      <w:b/>
      <w:bCs/>
      <w:color w:val="365F91" w:themeColor="accent1" w:themeShade="BF"/>
      <w:sz w:val="28"/>
      <w:szCs w:val="28"/>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Company>HP Inc.</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2020-09-30T16:50:00Z</dcterms:created>
  <dcterms:modified xsi:type="dcterms:W3CDTF">2020-09-30T16:50:00Z</dcterms:modified>
</cp:coreProperties>
</file>